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0A266" w14:textId="77777777" w:rsidR="00B06D3E" w:rsidRPr="00E446E8" w:rsidRDefault="00B06D3E" w:rsidP="00B06D3E">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Pr="00E446E8">
        <w:rPr>
          <w:rFonts w:eastAsia="Malgun Gothic"/>
          <w:b/>
          <w:bCs/>
          <w:sz w:val="28"/>
          <w:lang w:eastAsia="ko-KR"/>
        </w:rPr>
        <w:tab/>
      </w:r>
    </w:p>
    <w:p w14:paraId="3872DE40" w14:textId="77777777" w:rsidR="00B06D3E" w:rsidRPr="00E446E8" w:rsidRDefault="00B06D3E" w:rsidP="00B06D3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Pr="00725DCB">
        <w:rPr>
          <w:rFonts w:eastAsia="Malgun Gothic"/>
          <w:b/>
          <w:bCs/>
          <w:sz w:val="28"/>
          <w:lang w:eastAsia="ko-KR"/>
        </w:rPr>
        <w:t xml:space="preserve">, </w:t>
      </w:r>
      <w:r>
        <w:rPr>
          <w:rFonts w:eastAsia="Malgun Gothic"/>
          <w:b/>
          <w:bCs/>
          <w:sz w:val="28"/>
          <w:lang w:eastAsia="ko-KR"/>
        </w:rPr>
        <w:t>India</w:t>
      </w:r>
      <w:r w:rsidRPr="00725DCB">
        <w:rPr>
          <w:rFonts w:eastAsia="Malgun Gothic"/>
          <w:b/>
          <w:bCs/>
          <w:sz w:val="28"/>
          <w:lang w:eastAsia="ko-KR"/>
        </w:rPr>
        <w:t xml:space="preserve">, </w:t>
      </w:r>
      <w:r>
        <w:rPr>
          <w:rFonts w:eastAsia="Malgun Gothic"/>
          <w:b/>
          <w:bCs/>
          <w:sz w:val="28"/>
          <w:lang w:eastAsia="ko-KR"/>
        </w:rPr>
        <w:t>8</w:t>
      </w:r>
      <w:r w:rsidRPr="00725DCB">
        <w:rPr>
          <w:rFonts w:eastAsia="Malgun Gothic"/>
          <w:b/>
          <w:bCs/>
          <w:sz w:val="28"/>
          <w:vertAlign w:val="superscript"/>
          <w:lang w:eastAsia="ko-KR"/>
        </w:rPr>
        <w:t>th</w:t>
      </w:r>
      <w:r>
        <w:rPr>
          <w:rFonts w:eastAsia="Malgun Gothic"/>
          <w:b/>
          <w:bCs/>
          <w:sz w:val="28"/>
          <w:lang w:eastAsia="ko-KR"/>
        </w:rPr>
        <w:t xml:space="preserve"> – 12</w:t>
      </w:r>
      <w:r w:rsidRPr="00725DCB">
        <w:rPr>
          <w:rFonts w:eastAsia="Malgun Gothic"/>
          <w:b/>
          <w:bCs/>
          <w:sz w:val="28"/>
          <w:vertAlign w:val="superscript"/>
          <w:lang w:eastAsia="ko-KR"/>
        </w:rPr>
        <w:t>th</w:t>
      </w:r>
      <w:r>
        <w:rPr>
          <w:rFonts w:eastAsia="Malgun Gothic"/>
          <w:b/>
          <w:bCs/>
          <w:sz w:val="28"/>
          <w:lang w:eastAsia="ko-KR"/>
        </w:rPr>
        <w:t xml:space="preserve"> October</w:t>
      </w:r>
      <w:r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F559418" w:rsidR="002945F8" w:rsidRDefault="00A2208A" w:rsidP="002945F8">
      <w:pPr>
        <w:ind w:left="2160" w:hanging="2160"/>
      </w:pPr>
      <w:r w:rsidRPr="00E446E8">
        <w:rPr>
          <w:b/>
        </w:rPr>
        <w:t>Title:</w:t>
      </w:r>
      <w:r w:rsidRPr="00E446E8">
        <w:rPr>
          <w:b/>
        </w:rPr>
        <w:tab/>
      </w:r>
      <w:r w:rsidR="0099013D" w:rsidRPr="0099013D">
        <w:t>Discussion on test point selection for In-band Emissions in FR2</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495650D8"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w:t>
      </w:r>
      <w:r w:rsidR="002B3203">
        <w:rPr>
          <w:lang w:eastAsia="en-US"/>
        </w:rPr>
        <w:t>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EC1A8C" w14:textId="0C4D5909" w:rsidR="003361B0" w:rsidRDefault="003361B0" w:rsidP="002B3203">
      <w:pPr>
        <w:shd w:val="clear" w:color="auto" w:fill="E7E6E6" w:themeFill="background2"/>
        <w:spacing w:after="180" w:line="240" w:lineRule="auto"/>
        <w:rPr>
          <w:i/>
          <w:sz w:val="20"/>
          <w:szCs w:val="20"/>
          <w:lang w:val="en-GB" w:eastAsia="de-DE"/>
        </w:rPr>
      </w:pPr>
      <w:bookmarkStart w:id="2" w:name="_Toc518913764"/>
      <w:bookmarkStart w:id="3" w:name="_Toc518915436"/>
      <w:bookmarkStart w:id="4" w:name="_Hlk497415844"/>
      <w:r w:rsidRPr="003361B0">
        <w:rPr>
          <w:i/>
          <w:sz w:val="20"/>
          <w:szCs w:val="20"/>
          <w:lang w:val="en-GB" w:eastAsia="de-DE"/>
        </w:rPr>
        <w:t>6.4.2.3</w:t>
      </w:r>
      <w:r w:rsidRPr="003361B0">
        <w:rPr>
          <w:i/>
          <w:sz w:val="20"/>
          <w:szCs w:val="20"/>
          <w:lang w:val="en-GB" w:eastAsia="de-DE"/>
        </w:rPr>
        <w:tab/>
        <w:t>In-band emissions</w:t>
      </w:r>
      <w:bookmarkEnd w:id="2"/>
    </w:p>
    <w:p w14:paraId="0E4781AB"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6.4.2.3.1</w:t>
      </w:r>
      <w:r w:rsidRPr="002B3203">
        <w:rPr>
          <w:rFonts w:eastAsia="Malgun Gothic" w:cs="Times New Roman"/>
          <w:i/>
          <w:szCs w:val="20"/>
          <w:lang w:val="en-GB" w:eastAsia="en-US"/>
        </w:rPr>
        <w:tab/>
        <w:t>General</w:t>
      </w:r>
    </w:p>
    <w:p w14:paraId="68463B6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14:paraId="69611CA1"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basic in-band emissions measurement interval is identical to that of the EVM test.</w:t>
      </w:r>
    </w:p>
    <w:p w14:paraId="4D943A4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requirement is verified with the test metric of In-band emission (Link=TX beam peak direction, Meas=Link angle).</w:t>
      </w:r>
    </w:p>
    <w:p w14:paraId="4A8BD3C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6.4.2.3.2</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1</w:t>
      </w:r>
    </w:p>
    <w:p w14:paraId="7148AFBE" w14:textId="7EAE5189" w:rsidR="002B3203" w:rsidRPr="002B3203" w:rsidRDefault="002B3203" w:rsidP="002B3203">
      <w:pPr>
        <w:shd w:val="clear" w:color="auto" w:fill="E7E6E6" w:themeFill="background2"/>
        <w:spacing w:after="180" w:line="240" w:lineRule="auto"/>
        <w:rPr>
          <w:rFonts w:ascii="Times New Roman" w:eastAsia="Malgun Gothic" w:hAnsi="Times New Roman" w:cs="v5.0.0"/>
          <w:i/>
          <w:sz w:val="20"/>
          <w:szCs w:val="20"/>
          <w:lang w:val="en-GB" w:eastAsia="en-US"/>
        </w:rPr>
      </w:pPr>
      <w:bookmarkStart w:id="5" w:name="_Hlk519673118"/>
      <w:r w:rsidRPr="002B3203">
        <w:rPr>
          <w:rFonts w:ascii="Times New Roman" w:eastAsia="Malgun Gothic" w:hAnsi="Times New Roman" w:cs="Times New Roman"/>
          <w:i/>
          <w:sz w:val="20"/>
          <w:szCs w:val="20"/>
          <w:lang w:val="en-GB" w:eastAsia="en-US"/>
        </w:rPr>
        <w:t xml:space="preserve">The relative in-band emission shall not exceed the values specified in </w:t>
      </w:r>
      <w:bookmarkEnd w:id="5"/>
      <w:r w:rsidRPr="002B3203">
        <w:rPr>
          <w:rFonts w:ascii="Times New Roman" w:eastAsia="Malgun Gothic" w:hAnsi="Times New Roman" w:cs="Times New Roman"/>
          <w:i/>
          <w:sz w:val="20"/>
          <w:szCs w:val="20"/>
          <w:lang w:val="en-GB" w:eastAsia="en-US"/>
        </w:rPr>
        <w:t>Table 6.4.2.3.2-1 for power class 1 UEs</w:t>
      </w:r>
      <w:r w:rsidRPr="002B3203">
        <w:rPr>
          <w:rFonts w:ascii="Times New Roman" w:eastAsia="Malgun Gothic" w:hAnsi="Times New Roman" w:cs="v5.0.0"/>
          <w:i/>
          <w:sz w:val="20"/>
          <w:szCs w:val="20"/>
          <w:lang w:val="en-GB" w:eastAsia="en-US"/>
        </w:rPr>
        <w:t>.</w:t>
      </w:r>
    </w:p>
    <w:p w14:paraId="0C8AF12E"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158A3437" w14:textId="77777777" w:rsidTr="00944A87">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32D94"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70865A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F835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1CD8C40"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6A4D5C6A" w14:textId="77777777" w:rsidTr="00944A87">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201E7F6"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2CBB3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517B1CF" w14:textId="32586DB4" w:rsidR="002B3203" w:rsidRPr="002B3203" w:rsidRDefault="003054F1" w:rsidP="002B3203">
            <w:pPr>
              <w:keepNext/>
              <w:keepLines/>
              <w:shd w:val="clear" w:color="auto" w:fill="E7E6E6" w:themeFill="background2"/>
              <w:spacing w:after="0" w:line="240" w:lineRule="auto"/>
              <w:jc w:val="center"/>
              <w:rPr>
                <w:rFonts w:eastAsia="Malgun Gothic"/>
                <w:i/>
                <w:sz w:val="18"/>
                <w:szCs w:val="20"/>
                <w:lang w:val="en-GB" w:eastAsia="ko-KR"/>
              </w:rPr>
            </w:pPr>
            <m:oMathPara>
              <m:oMath>
                <m:func>
                  <m:funcPr>
                    <m:ctrlPr>
                      <w:rPr>
                        <w:rFonts w:ascii="Cambria Math" w:eastAsia="Malgun Gothic" w:hAnsi="Cambria Math" w:cs="Times New Roman"/>
                        <w:i/>
                        <w:sz w:val="18"/>
                        <w:szCs w:val="20"/>
                        <w:lang w:val="en-GB" w:eastAsia="en-US"/>
                      </w:rPr>
                    </m:ctrlPr>
                  </m:funcPr>
                  <m:fName>
                    <m:r>
                      <w:rPr>
                        <w:rFonts w:ascii="Cambria Math" w:eastAsia="Malgun Gothic" w:hAnsi="Cambria Math" w:cs="Times New Roman"/>
                        <w:sz w:val="18"/>
                        <w:szCs w:val="20"/>
                        <w:lang w:val="en-GB" w:eastAsia="en-US"/>
                      </w:rPr>
                      <m:t>max</m:t>
                    </m:r>
                  </m:fName>
                  <m:e>
                    <m:d>
                      <m:dPr>
                        <m:begChr m:val="["/>
                        <m:endChr m:val="]"/>
                        <m:ctrlPr>
                          <w:rPr>
                            <w:rFonts w:ascii="Cambria Math" w:eastAsia="Malgun Gothic" w:hAnsi="Cambria Math" w:cs="Times New Roman"/>
                            <w:i/>
                            <w:sz w:val="18"/>
                            <w:szCs w:val="20"/>
                            <w:lang w:val="en-GB" w:eastAsia="en-US"/>
                          </w:rPr>
                        </m:ctrlPr>
                      </m:dPr>
                      <m:e>
                        <m:eqArr>
                          <m:eqArrPr>
                            <m:ctrlPr>
                              <w:rPr>
                                <w:rFonts w:ascii="Cambria Math" w:eastAsia="Malgun Gothic" w:hAnsi="Cambria Math" w:cs="Times New Roman"/>
                                <w:i/>
                                <w:sz w:val="18"/>
                                <w:szCs w:val="20"/>
                                <w:lang w:val="en-GB" w:eastAsia="en-US"/>
                              </w:rPr>
                            </m:ctrlPr>
                          </m:eqArrPr>
                          <m:e>
                            <m:r>
                              <w:rPr>
                                <w:rFonts w:ascii="Cambria Math" w:eastAsia="Malgun Gothic" w:hAnsi="Cambria Math" w:cs="Times New Roman"/>
                                <w:sz w:val="18"/>
                                <w:szCs w:val="20"/>
                                <w:lang w:val="en-GB" w:eastAsia="en-US"/>
                              </w:rPr>
                              <m:t>-25 -10.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f>
                                  <m:fPr>
                                    <m:ctrlPr>
                                      <w:rPr>
                                        <w:rFonts w:ascii="Cambria Math" w:eastAsia="Malgun Gothic" w:hAnsi="Cambria Math" w:cs="Times New Roman"/>
                                        <w:i/>
                                        <w:sz w:val="18"/>
                                        <w:szCs w:val="20"/>
                                        <w:lang w:val="en-GB" w:eastAsia="en-US"/>
                                      </w:rPr>
                                    </m:ctrlPr>
                                  </m:fPr>
                                  <m:num>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N</m:t>
                                        </m:r>
                                      </m:e>
                                      <m:sub>
                                        <m:r>
                                          <w:rPr>
                                            <w:rFonts w:ascii="Cambria Math" w:eastAsia="Malgun Gothic" w:hAnsi="Cambria Math" w:cs="Times New Roman"/>
                                            <w:sz w:val="18"/>
                                            <w:szCs w:val="20"/>
                                            <w:lang w:val="en-GB" w:eastAsia="en-US"/>
                                          </w:rPr>
                                          <m:t>RB</m:t>
                                        </m:r>
                                      </m:sub>
                                    </m:sSub>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e>
                            </m:d>
                            <m:r>
                              <w:rPr>
                                <w:rFonts w:ascii="Cambria Math" w:eastAsia="Malgun Gothic" w:hAnsi="Cambria Math" w:cs="Times New Roman"/>
                                <w:sz w:val="18"/>
                                <w:szCs w:val="20"/>
                                <w:lang w:val="en-GB" w:eastAsia="en-US"/>
                              </w:rPr>
                              <m:t xml:space="preserve">,  </m:t>
                            </m:r>
                            <m:ctrlPr>
                              <w:rPr>
                                <w:rFonts w:ascii="Cambria Math" w:eastAsia="Malgun Gothic" w:hAnsi="Cambria Math" w:cs="Times New Roman"/>
                                <w:i/>
                                <w:sz w:val="18"/>
                                <w:szCs w:val="20"/>
                                <w:vertAlign w:val="subscript"/>
                                <w:lang w:val="en-GB" w:eastAsia="en-US"/>
                              </w:rPr>
                            </m:ctrlPr>
                          </m:e>
                          <m:e>
                            <m:r>
                              <w:rPr>
                                <w:rFonts w:ascii="Cambria Math" w:eastAsia="Malgun Gothic" w:hAnsi="Cambria Math" w:cs="Times New Roman"/>
                                <w:sz w:val="18"/>
                                <w:szCs w:val="20"/>
                                <w:lang w:val="en-GB" w:eastAsia="en-US"/>
                              </w:rPr>
                              <m:t>20.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r>
                                  <w:rPr>
                                    <w:rFonts w:ascii="Cambria Math" w:eastAsia="Malgun Gothic" w:hAnsi="Cambria Math" w:cs="Times New Roman"/>
                                    <w:sz w:val="18"/>
                                    <w:szCs w:val="20"/>
                                    <w:lang w:val="en-GB" w:eastAsia="en-US"/>
                                  </w:rPr>
                                  <m:t>EVM</m:t>
                                </m:r>
                              </m:e>
                            </m:d>
                            <m:r>
                              <w:rPr>
                                <w:rFonts w:ascii="Cambria Math" w:eastAsia="Malgun Gothic" w:hAnsi="Cambria Math" w:cs="Times New Roman"/>
                                <w:sz w:val="18"/>
                                <w:szCs w:val="20"/>
                                <w:lang w:val="en-GB" w:eastAsia="en-US"/>
                              </w:rPr>
                              <m:t>- 5.</m:t>
                            </m:r>
                            <m:f>
                              <m:fPr>
                                <m:ctrlPr>
                                  <w:rPr>
                                    <w:rFonts w:ascii="Cambria Math" w:eastAsia="Malgun Gothic" w:hAnsi="Cambria Math" w:cs="Times New Roman"/>
                                    <w:i/>
                                    <w:sz w:val="18"/>
                                    <w:szCs w:val="20"/>
                                    <w:lang w:val="en-GB" w:eastAsia="en-US"/>
                                  </w:rPr>
                                </m:ctrlPr>
                              </m:fPr>
                              <m:num>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m:t>
                                        </m:r>
                                      </m:e>
                                      <m:sub>
                                        <m:r>
                                          <w:rPr>
                                            <w:rFonts w:ascii="Cambria Math" w:eastAsia="Malgun Gothic" w:hAnsi="Cambria Math" w:cs="Times New Roman"/>
                                            <w:sz w:val="18"/>
                                            <w:szCs w:val="20"/>
                                            <w:lang w:val="en-GB" w:eastAsia="en-US"/>
                                          </w:rPr>
                                          <m:t>RB</m:t>
                                        </m:r>
                                      </m:sub>
                                    </m:sSub>
                                  </m:e>
                                  <m:e>
                                    <m:r>
                                      <w:rPr>
                                        <w:rFonts w:ascii="Cambria Math" w:eastAsia="Malgun Gothic" w:hAnsi="Cambria Math" w:cs="Times New Roman"/>
                                        <w:sz w:val="18"/>
                                        <w:szCs w:val="20"/>
                                        <w:lang w:val="en-GB" w:eastAsia="en-US"/>
                                      </w:rPr>
                                      <m:t>-1</m:t>
                                    </m:r>
                                  </m:e>
                                </m:d>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r>
                              <w:rPr>
                                <w:rFonts w:ascii="Cambria Math" w:eastAsia="Malgun Gothic" w:hAnsi="Cambria Math" w:cs="Times New Roman"/>
                                <w:sz w:val="18"/>
                                <w:szCs w:val="20"/>
                                <w:vertAlign w:val="subscript"/>
                                <w:lang w:val="en-GB" w:eastAsia="en-US"/>
                              </w:rPr>
                              <m:t>,</m:t>
                            </m:r>
                            <m:ctrlPr>
                              <w:rPr>
                                <w:rFonts w:ascii="Cambria Math" w:eastAsia="Cambria Math" w:hAnsi="Cambria Math" w:cs="Cambria Math"/>
                                <w:i/>
                                <w:sz w:val="18"/>
                                <w:szCs w:val="20"/>
                                <w:vertAlign w:val="subscript"/>
                                <w:lang w:val="en-GB" w:eastAsia="en-US"/>
                              </w:rPr>
                            </m:ctrlPr>
                          </m:e>
                          <m:e>
                            <m:r>
                              <w:rPr>
                                <w:rFonts w:ascii="Cambria Math" w:eastAsia="Malgun Gothic" w:hAnsi="Cambria Math" w:cs="Times New Roman"/>
                                <w:sz w:val="18"/>
                                <w:szCs w:val="20"/>
                                <w:vertAlign w:val="subscript"/>
                                <w:lang w:val="en-GB" w:eastAsia="en-US"/>
                              </w:rPr>
                              <m:t xml:space="preserve"> -55.1dBm</m:t>
                            </m:r>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P</m:t>
                                </m:r>
                              </m:e>
                              <m:sub>
                                <m:r>
                                  <w:rPr>
                                    <w:rFonts w:ascii="Cambria Math" w:eastAsia="Malgun Gothic" w:hAnsi="Cambria Math" w:cs="Times New Roman"/>
                                    <w:sz w:val="18"/>
                                    <w:szCs w:val="20"/>
                                    <w:lang w:val="en-GB" w:eastAsia="en-US"/>
                                  </w:rPr>
                                  <m:t>RB</m:t>
                                </m:r>
                              </m:sub>
                            </m:sSub>
                          </m:e>
                        </m:eqArr>
                      </m:e>
                    </m:d>
                  </m:e>
                </m:func>
              </m:oMath>
            </m:oMathPara>
          </w:p>
          <w:p w14:paraId="190D10D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4BDC4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348277FE" w14:textId="77777777" w:rsidTr="00944A87">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2E3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FBE5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0333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A9FD3B"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8648D0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28F8BFA2" w14:textId="77777777" w:rsidTr="00944A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22531"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7B13"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B13838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A9ED5F"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1DD2"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0F90C5C9" w14:textId="77777777" w:rsidTr="00944A87">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C621F"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lastRenderedPageBreak/>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6AD28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0750D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B4BB38"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F23E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637F0AAF" w14:textId="77777777" w:rsidTr="00944A8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6F56"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FC5F"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CDC9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2B0E531"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6E8E"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7C2CECEF" w14:textId="77777777" w:rsidTr="00944A87">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9D8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297A190B"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C1F96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2D444F4"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546642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721E47A1"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0EAEE76C"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66F0DE7E"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19473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772C1647"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715F9D9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i/>
                <w:sz w:val="18"/>
                <w:szCs w:val="20"/>
                <w:lang w:val="en-GB" w:eastAsia="ja-JP"/>
              </w:rPr>
              <w:t>beam peak direction.</w:t>
            </w:r>
          </w:p>
        </w:tc>
      </w:tr>
    </w:tbl>
    <w:p w14:paraId="628A999D"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7A34018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6.4.2.3.3</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2</w:t>
      </w:r>
    </w:p>
    <w:p w14:paraId="382CCFD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6.4.2.3.4</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3</w:t>
      </w:r>
    </w:p>
    <w:p w14:paraId="2A2F80D8"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relative in-band emission shall not exceed the values specified in Table 6.4.2.3.4-1 for power class 3 UEs</w:t>
      </w:r>
      <w:r w:rsidRPr="002B3203">
        <w:rPr>
          <w:rFonts w:ascii="Times New Roman" w:eastAsia="Malgun Gothic" w:hAnsi="Times New Roman" w:cs="v5.0.0"/>
          <w:i/>
          <w:sz w:val="20"/>
          <w:szCs w:val="20"/>
          <w:lang w:val="en-GB" w:eastAsia="en-US"/>
        </w:rPr>
        <w:t>.</w:t>
      </w:r>
    </w:p>
    <w:p w14:paraId="7B6EA858"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0D1F3F47" w14:textId="77777777" w:rsidTr="00944A87">
        <w:trPr>
          <w:jc w:val="center"/>
        </w:trPr>
        <w:tc>
          <w:tcPr>
            <w:tcW w:w="1187" w:type="dxa"/>
            <w:tcBorders>
              <w:bottom w:val="single" w:sz="4" w:space="0" w:color="auto"/>
              <w:right w:val="single" w:sz="4" w:space="0" w:color="auto"/>
            </w:tcBorders>
            <w:shd w:val="clear" w:color="auto" w:fill="auto"/>
            <w:vAlign w:val="center"/>
          </w:tcPr>
          <w:p w14:paraId="5F3D3BEA"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B307B4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DF5B1D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5B3C87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46BBDF23" w14:textId="77777777" w:rsidTr="00944A87">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2CB2E95"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7C6CE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FCB71C" w14:textId="19BA7FA4"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m:oMathPara>
              <m:oMath>
                <m:r>
                  <m:rPr>
                    <m:sty m:val="p"/>
                  </m:rPr>
                  <w:rPr>
                    <w:rFonts w:ascii="Cambria Math" w:eastAsia="Malgun Gothic" w:hAnsi="Cambria Math" w:cs="Times New Roman"/>
                    <w:sz w:val="20"/>
                    <w:szCs w:val="20"/>
                    <w:lang w:val="en-GB" w:eastAsia="en-US"/>
                  </w:rPr>
                  <w:br/>
                </m:r>
              </m:oMath>
              <m:oMath>
                <m:func>
                  <m:funcPr>
                    <m:ctrlPr>
                      <w:rPr>
                        <w:rFonts w:ascii="Cambria Math" w:eastAsia="Malgun Gothic" w:hAnsi="Cambria Math" w:cs="Times New Roman"/>
                        <w:i/>
                        <w:sz w:val="20"/>
                        <w:szCs w:val="20"/>
                        <w:lang w:val="en-GB" w:eastAsia="en-US"/>
                      </w:rPr>
                    </m:ctrlPr>
                  </m:funcPr>
                  <m:fName>
                    <m:r>
                      <w:rPr>
                        <w:rFonts w:ascii="Cambria Math" w:eastAsia="Malgun Gothic" w:hAnsi="Cambria Math" w:cs="Times New Roman"/>
                        <w:sz w:val="20"/>
                        <w:szCs w:val="20"/>
                        <w:lang w:val="en-GB" w:eastAsia="en-US"/>
                      </w:rPr>
                      <m:t>max</m:t>
                    </m:r>
                  </m:fName>
                  <m:e>
                    <m:d>
                      <m:dPr>
                        <m:begChr m:val="["/>
                        <m:endChr m:val="]"/>
                        <m:ctrlPr>
                          <w:rPr>
                            <w:rFonts w:ascii="Cambria Math" w:eastAsia="Malgun Gothic" w:hAnsi="Cambria Math" w:cs="Times New Roman"/>
                            <w:i/>
                            <w:sz w:val="20"/>
                            <w:szCs w:val="20"/>
                            <w:lang w:val="en-GB" w:eastAsia="en-US"/>
                          </w:rPr>
                        </m:ctrlPr>
                      </m:dPr>
                      <m:e>
                        <m:eqArr>
                          <m:eqArrPr>
                            <m:ctrlPr>
                              <w:rPr>
                                <w:rFonts w:ascii="Cambria Math" w:eastAsia="Malgun Gothic" w:hAnsi="Cambria Math" w:cs="Times New Roman"/>
                                <w:i/>
                                <w:sz w:val="20"/>
                                <w:szCs w:val="20"/>
                                <w:lang w:val="en-GB" w:eastAsia="en-US"/>
                              </w:rPr>
                            </m:ctrlPr>
                          </m:eqArrPr>
                          <m:e>
                            <m:r>
                              <w:rPr>
                                <w:rFonts w:ascii="Cambria Math" w:eastAsia="Malgun Gothic" w:hAnsi="Cambria Math" w:cs="Times New Roman"/>
                                <w:sz w:val="20"/>
                                <w:szCs w:val="20"/>
                                <w:lang w:val="en-GB" w:eastAsia="en-US"/>
                              </w:rPr>
                              <m:t>-25 -10.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f>
                                  <m:fPr>
                                    <m:ctrlPr>
                                      <w:rPr>
                                        <w:rFonts w:ascii="Cambria Math" w:eastAsia="Malgun Gothic" w:hAnsi="Cambria Math" w:cs="Times New Roman"/>
                                        <w:i/>
                                        <w:sz w:val="20"/>
                                        <w:szCs w:val="20"/>
                                        <w:lang w:val="en-GB" w:eastAsia="en-US"/>
                                      </w:rPr>
                                    </m:ctrlPr>
                                  </m:fPr>
                                  <m:num>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N</m:t>
                                        </m:r>
                                      </m:e>
                                      <m:sub>
                                        <m:r>
                                          <w:rPr>
                                            <w:rFonts w:ascii="Cambria Math" w:eastAsia="Malgun Gothic" w:hAnsi="Cambria Math" w:cs="Times New Roman"/>
                                            <w:sz w:val="20"/>
                                            <w:szCs w:val="20"/>
                                            <w:lang w:val="en-GB" w:eastAsia="en-US"/>
                                          </w:rPr>
                                          <m:t>RB</m:t>
                                        </m:r>
                                      </m:sub>
                                    </m:sSub>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e>
                            </m:d>
                            <m:r>
                              <w:rPr>
                                <w:rFonts w:ascii="Cambria Math" w:eastAsia="Malgun Gothic" w:hAnsi="Cambria Math" w:cs="Times New Roman"/>
                                <w:sz w:val="20"/>
                                <w:szCs w:val="20"/>
                                <w:lang w:val="en-GB" w:eastAsia="en-US"/>
                              </w:rPr>
                              <m:t xml:space="preserve">,  </m:t>
                            </m:r>
                            <m:ctrlPr>
                              <w:rPr>
                                <w:rFonts w:ascii="Cambria Math" w:eastAsia="Malgun Gothic" w:hAnsi="Cambria Math" w:cs="Times New Roman"/>
                                <w:i/>
                                <w:sz w:val="20"/>
                                <w:szCs w:val="20"/>
                                <w:vertAlign w:val="subscript"/>
                                <w:lang w:val="en-GB" w:eastAsia="en-US"/>
                              </w:rPr>
                            </m:ctrlPr>
                          </m:e>
                          <m:e>
                            <m:r>
                              <w:rPr>
                                <w:rFonts w:ascii="Cambria Math" w:eastAsia="Malgun Gothic" w:hAnsi="Cambria Math" w:cs="Times New Roman"/>
                                <w:sz w:val="20"/>
                                <w:szCs w:val="20"/>
                                <w:lang w:val="en-GB" w:eastAsia="en-US"/>
                              </w:rPr>
                              <m:t>20.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r>
                                  <w:rPr>
                                    <w:rFonts w:ascii="Cambria Math" w:eastAsia="Malgun Gothic" w:hAnsi="Cambria Math" w:cs="Times New Roman"/>
                                    <w:sz w:val="20"/>
                                    <w:szCs w:val="20"/>
                                    <w:lang w:val="en-GB" w:eastAsia="en-US"/>
                                  </w:rPr>
                                  <m:t>EVM</m:t>
                                </m:r>
                              </m:e>
                            </m:d>
                            <m:r>
                              <w:rPr>
                                <w:rFonts w:ascii="Cambria Math" w:eastAsia="Malgun Gothic" w:hAnsi="Cambria Math" w:cs="Times New Roman"/>
                                <w:sz w:val="20"/>
                                <w:szCs w:val="20"/>
                                <w:lang w:val="en-GB" w:eastAsia="en-US"/>
                              </w:rPr>
                              <m:t>- 5.</m:t>
                            </m:r>
                            <m:f>
                              <m:fPr>
                                <m:ctrlPr>
                                  <w:rPr>
                                    <w:rFonts w:ascii="Cambria Math" w:eastAsia="Malgun Gothic" w:hAnsi="Cambria Math" w:cs="Times New Roman"/>
                                    <w:i/>
                                    <w:sz w:val="20"/>
                                    <w:szCs w:val="20"/>
                                    <w:lang w:val="en-GB" w:eastAsia="en-US"/>
                                  </w:rPr>
                                </m:ctrlPr>
                              </m:fPr>
                              <m:num>
                                <m:d>
                                  <m:dPr>
                                    <m:ctrlPr>
                                      <w:rPr>
                                        <w:rFonts w:ascii="Cambria Math" w:eastAsia="Malgun Gothic" w:hAnsi="Cambria Math" w:cs="Times New Roman"/>
                                        <w:i/>
                                        <w:sz w:val="20"/>
                                        <w:szCs w:val="20"/>
                                        <w:lang w:val="en-GB" w:eastAsia="en-US"/>
                                      </w:rPr>
                                    </m:ctrlPr>
                                  </m:dPr>
                                  <m:e>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m:t>
                                        </m:r>
                                      </m:e>
                                      <m:sub>
                                        <m:r>
                                          <w:rPr>
                                            <w:rFonts w:ascii="Cambria Math" w:eastAsia="Malgun Gothic" w:hAnsi="Cambria Math" w:cs="Times New Roman"/>
                                            <w:sz w:val="20"/>
                                            <w:szCs w:val="20"/>
                                            <w:lang w:val="en-GB" w:eastAsia="en-US"/>
                                          </w:rPr>
                                          <m:t>RB</m:t>
                                        </m:r>
                                      </m:sub>
                                    </m:sSub>
                                  </m:e>
                                  <m:e>
                                    <m:r>
                                      <w:rPr>
                                        <w:rFonts w:ascii="Cambria Math" w:eastAsia="Malgun Gothic" w:hAnsi="Cambria Math" w:cs="Times New Roman"/>
                                        <w:sz w:val="20"/>
                                        <w:szCs w:val="20"/>
                                        <w:lang w:val="en-GB" w:eastAsia="en-US"/>
                                      </w:rPr>
                                      <m:t>-1</m:t>
                                    </m:r>
                                  </m:e>
                                </m:d>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r>
                              <w:rPr>
                                <w:rFonts w:ascii="Cambria Math" w:eastAsia="Malgun Gothic" w:hAnsi="Cambria Math" w:cs="Times New Roman"/>
                                <w:sz w:val="20"/>
                                <w:szCs w:val="20"/>
                                <w:vertAlign w:val="subscript"/>
                                <w:lang w:val="en-GB" w:eastAsia="en-US"/>
                              </w:rPr>
                              <m:t>,</m:t>
                            </m:r>
                            <m:ctrlPr>
                              <w:rPr>
                                <w:rFonts w:ascii="Cambria Math" w:eastAsia="Cambria Math" w:hAnsi="Cambria Math" w:cs="Cambria Math"/>
                                <w:i/>
                                <w:sz w:val="20"/>
                                <w:szCs w:val="20"/>
                                <w:vertAlign w:val="subscript"/>
                                <w:lang w:val="en-GB" w:eastAsia="en-US"/>
                              </w:rPr>
                            </m:ctrlPr>
                          </m:e>
                          <m:e>
                            <m:r>
                              <w:rPr>
                                <w:rFonts w:ascii="Cambria Math" w:eastAsia="Malgun Gothic" w:hAnsi="Cambria Math" w:cs="Times New Roman"/>
                                <w:sz w:val="20"/>
                                <w:szCs w:val="20"/>
                                <w:vertAlign w:val="subscript"/>
                                <w:lang w:val="en-GB" w:eastAsia="en-US"/>
                              </w:rPr>
                              <m:t xml:space="preserve"> -55.1dBm</m:t>
                            </m:r>
                            <m:r>
                              <w:rPr>
                                <w:rFonts w:ascii="Cambria Math" w:eastAsia="Malgun Gothic" w:hAnsi="Cambria Math" w:cs="Times New Roman"/>
                                <w:sz w:val="20"/>
                                <w:szCs w:val="20"/>
                                <w:lang w:val="en-GB" w:eastAsia="en-US"/>
                              </w:rPr>
                              <m: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P</m:t>
                                </m:r>
                              </m:e>
                              <m:sub>
                                <m:r>
                                  <w:rPr>
                                    <w:rFonts w:ascii="Cambria Math" w:eastAsia="Malgun Gothic" w:hAnsi="Cambria Math" w:cs="Times New Roman"/>
                                    <w:sz w:val="20"/>
                                    <w:szCs w:val="20"/>
                                    <w:lang w:val="en-GB" w:eastAsia="en-US"/>
                                  </w:rPr>
                                  <m:t>RB</m:t>
                                </m:r>
                              </m:sub>
                            </m:sSub>
                          </m:e>
                        </m:eqArr>
                      </m:e>
                    </m:d>
                  </m:e>
                </m:func>
              </m:oMath>
            </m:oMathPara>
          </w:p>
          <w:p w14:paraId="6A097E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w:p>
          <w:p w14:paraId="093FDEC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7251C9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17B76212" w14:textId="77777777" w:rsidTr="00944A87">
        <w:trPr>
          <w:jc w:val="center"/>
        </w:trPr>
        <w:tc>
          <w:tcPr>
            <w:tcW w:w="1187" w:type="dxa"/>
            <w:vMerge w:val="restart"/>
            <w:tcBorders>
              <w:top w:val="single" w:sz="4" w:space="0" w:color="auto"/>
              <w:right w:val="single" w:sz="4" w:space="0" w:color="auto"/>
            </w:tcBorders>
            <w:shd w:val="clear" w:color="auto" w:fill="auto"/>
            <w:vAlign w:val="center"/>
          </w:tcPr>
          <w:p w14:paraId="306C2658"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right w:val="single" w:sz="4" w:space="0" w:color="auto"/>
            </w:tcBorders>
            <w:vAlign w:val="center"/>
          </w:tcPr>
          <w:p w14:paraId="4007D5A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right w:val="single" w:sz="4" w:space="0" w:color="auto"/>
            </w:tcBorders>
            <w:vAlign w:val="center"/>
          </w:tcPr>
          <w:p w14:paraId="079B95A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vAlign w:val="center"/>
          </w:tcPr>
          <w:p w14:paraId="76C7D292"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10 dBm</w:t>
            </w:r>
          </w:p>
        </w:tc>
        <w:tc>
          <w:tcPr>
            <w:tcW w:w="1905" w:type="dxa"/>
            <w:vMerge w:val="restart"/>
            <w:tcBorders>
              <w:top w:val="single" w:sz="4" w:space="0" w:color="auto"/>
              <w:left w:val="single" w:sz="4" w:space="0" w:color="auto"/>
              <w:right w:val="single" w:sz="4" w:space="0" w:color="auto"/>
            </w:tcBorders>
            <w:vAlign w:val="center"/>
          </w:tcPr>
          <w:p w14:paraId="6AE614C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06DEDA08" w14:textId="77777777" w:rsidTr="00944A87">
        <w:trPr>
          <w:jc w:val="center"/>
        </w:trPr>
        <w:tc>
          <w:tcPr>
            <w:tcW w:w="1187" w:type="dxa"/>
            <w:vMerge/>
            <w:tcBorders>
              <w:right w:val="single" w:sz="4" w:space="0" w:color="auto"/>
            </w:tcBorders>
            <w:shd w:val="clear" w:color="auto" w:fill="auto"/>
            <w:vAlign w:val="center"/>
          </w:tcPr>
          <w:p w14:paraId="713A0F4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left w:val="single" w:sz="4" w:space="0" w:color="auto"/>
              <w:right w:val="single" w:sz="4" w:space="0" w:color="auto"/>
            </w:tcBorders>
            <w:vAlign w:val="center"/>
          </w:tcPr>
          <w:p w14:paraId="5B69D0BE"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0579E5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vAlign w:val="center"/>
          </w:tcPr>
          <w:p w14:paraId="307404C9"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10 dBm</w:t>
            </w:r>
          </w:p>
        </w:tc>
        <w:tc>
          <w:tcPr>
            <w:tcW w:w="1905" w:type="dxa"/>
            <w:vMerge/>
            <w:tcBorders>
              <w:left w:val="single" w:sz="4" w:space="0" w:color="auto"/>
              <w:right w:val="single" w:sz="4" w:space="0" w:color="auto"/>
            </w:tcBorders>
            <w:vAlign w:val="center"/>
          </w:tcPr>
          <w:p w14:paraId="6DE8610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r>
      <w:tr w:rsidR="002B3203" w:rsidRPr="002B3203" w14:paraId="6DEC45AD" w14:textId="77777777" w:rsidTr="00944A87">
        <w:trPr>
          <w:trHeight w:val="208"/>
          <w:jc w:val="center"/>
        </w:trPr>
        <w:tc>
          <w:tcPr>
            <w:tcW w:w="1187" w:type="dxa"/>
            <w:vMerge w:val="restart"/>
            <w:tcBorders>
              <w:top w:val="single" w:sz="4" w:space="0" w:color="auto"/>
              <w:right w:val="single" w:sz="4" w:space="0" w:color="auto"/>
            </w:tcBorders>
            <w:shd w:val="clear" w:color="auto" w:fill="auto"/>
            <w:vAlign w:val="center"/>
          </w:tcPr>
          <w:p w14:paraId="2E5F16E3"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10FDBB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dBc</w:t>
            </w:r>
          </w:p>
        </w:tc>
        <w:tc>
          <w:tcPr>
            <w:tcW w:w="1845" w:type="dxa"/>
            <w:tcBorders>
              <w:top w:val="single" w:sz="4" w:space="0" w:color="auto"/>
              <w:left w:val="single" w:sz="4" w:space="0" w:color="auto"/>
              <w:right w:val="single" w:sz="4" w:space="0" w:color="auto"/>
            </w:tcBorders>
            <w:vAlign w:val="center"/>
          </w:tcPr>
          <w:p w14:paraId="711CC60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77E50175"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775D15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743A67D7" w14:textId="77777777" w:rsidTr="00944A87">
        <w:trPr>
          <w:trHeight w:val="208"/>
          <w:jc w:val="center"/>
        </w:trPr>
        <w:tc>
          <w:tcPr>
            <w:tcW w:w="1187" w:type="dxa"/>
            <w:vMerge/>
            <w:tcBorders>
              <w:top w:val="single" w:sz="4" w:space="0" w:color="auto"/>
              <w:right w:val="single" w:sz="4" w:space="0" w:color="auto"/>
            </w:tcBorders>
            <w:shd w:val="clear" w:color="auto" w:fill="auto"/>
            <w:vAlign w:val="center"/>
          </w:tcPr>
          <w:p w14:paraId="1C39E69A"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top w:val="single" w:sz="4" w:space="0" w:color="auto"/>
              <w:left w:val="single" w:sz="4" w:space="0" w:color="auto"/>
              <w:right w:val="single" w:sz="4" w:space="0" w:color="auto"/>
            </w:tcBorders>
            <w:vAlign w:val="center"/>
          </w:tcPr>
          <w:p w14:paraId="7450530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488DE60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06BF1E53"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-13 dBm ≤ Output power ≤ 0 dBm</w:t>
            </w:r>
          </w:p>
        </w:tc>
        <w:tc>
          <w:tcPr>
            <w:tcW w:w="1905" w:type="dxa"/>
            <w:vMerge/>
            <w:tcBorders>
              <w:top w:val="single" w:sz="4" w:space="0" w:color="auto"/>
              <w:left w:val="single" w:sz="4" w:space="0" w:color="auto"/>
              <w:right w:val="single" w:sz="4" w:space="0" w:color="auto"/>
            </w:tcBorders>
            <w:vAlign w:val="center"/>
          </w:tcPr>
          <w:p w14:paraId="6CFAFFF6" w14:textId="77777777" w:rsidR="002B3203" w:rsidRPr="002B3203" w:rsidRDefault="002B3203" w:rsidP="002B3203">
            <w:pPr>
              <w:shd w:val="clear" w:color="auto" w:fill="E7E6E6" w:themeFill="background2"/>
              <w:spacing w:after="0" w:line="240" w:lineRule="auto"/>
              <w:rPr>
                <w:rFonts w:ascii="Times New Roman" w:eastAsia="Malgun Gothic" w:hAnsi="Times New Roman" w:cs="Times New Roman"/>
                <w:i/>
                <w:sz w:val="20"/>
                <w:szCs w:val="20"/>
                <w:lang w:val="en-GB" w:eastAsia="en-US"/>
              </w:rPr>
            </w:pPr>
          </w:p>
        </w:tc>
      </w:tr>
      <w:tr w:rsidR="002B3203" w:rsidRPr="002B3203" w14:paraId="0131F9A9" w14:textId="77777777" w:rsidTr="00944A87">
        <w:trPr>
          <w:trHeight w:val="424"/>
          <w:jc w:val="center"/>
        </w:trPr>
        <w:tc>
          <w:tcPr>
            <w:tcW w:w="10189" w:type="dxa"/>
            <w:gridSpan w:val="5"/>
            <w:tcBorders>
              <w:right w:val="single" w:sz="4" w:space="0" w:color="auto"/>
            </w:tcBorders>
            <w:shd w:val="clear" w:color="auto" w:fill="auto"/>
            <w:vAlign w:val="center"/>
          </w:tcPr>
          <w:p w14:paraId="7FAE9D7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68DBA98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03B56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F51F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078D868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5B6DE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2353991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5923B0D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943DA2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4B1517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032A19F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hint="eastAsia"/>
                <w:i/>
                <w:sz w:val="18"/>
                <w:szCs w:val="20"/>
                <w:lang w:val="en-GB" w:eastAsia="ja-JP"/>
              </w:rPr>
              <w:t>beam peak direction.</w:t>
            </w:r>
          </w:p>
        </w:tc>
      </w:tr>
    </w:tbl>
    <w:p w14:paraId="75438A55"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3B1EC9B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6.4.2.3.5</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4</w:t>
      </w:r>
    </w:p>
    <w:p w14:paraId="0E5D5A2E" w14:textId="77777777" w:rsidR="002B3203" w:rsidRDefault="002B3203" w:rsidP="003361B0">
      <w:pPr>
        <w:shd w:val="clear" w:color="auto" w:fill="E7E6E6"/>
        <w:spacing w:after="180" w:line="240" w:lineRule="auto"/>
        <w:rPr>
          <w:i/>
          <w:sz w:val="20"/>
          <w:szCs w:val="20"/>
          <w:lang w:val="en-GB" w:eastAsia="de-DE"/>
        </w:rPr>
      </w:pPr>
    </w:p>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0437DA3C"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 </w:t>
      </w:r>
      <w:r w:rsidR="002B320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3510CE4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w:t>
      </w:r>
      <w:r w:rsidR="0099013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574D4D31" w14:textId="4B973474" w:rsidR="002B3203" w:rsidRPr="002B3203" w:rsidRDefault="00B848EE" w:rsidP="002B3203">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r w:rsidR="002B3203" w:rsidRPr="002B3203">
        <w:rPr>
          <w:lang w:eastAsia="en-US"/>
        </w:rPr>
        <w:t xml:space="preserve"> Smallest SCS is selected since it is the most common one.</w:t>
      </w:r>
    </w:p>
    <w:p w14:paraId="0BFF3AF0" w14:textId="2AB12770" w:rsidR="00725DCB" w:rsidRDefault="00725DCB" w:rsidP="00DF443F">
      <w:pPr>
        <w:jc w:val="both"/>
        <w:rPr>
          <w:lang w:eastAsia="en-US"/>
        </w:rPr>
      </w:pPr>
    </w:p>
    <w:p w14:paraId="2397B002" w14:textId="71F5C01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 xml:space="preserve">n </w:t>
      </w:r>
      <w:r w:rsidR="0099013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C72E620"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Mid range, and High range. </w:t>
      </w:r>
      <w:r w:rsidR="00B848EE">
        <w:rPr>
          <w:lang w:eastAsia="en-US"/>
        </w:rPr>
        <w:t xml:space="preserve">Due to the </w:t>
      </w:r>
      <w:r w:rsidR="003361B0">
        <w:rPr>
          <w:lang w:eastAsia="en-US"/>
        </w:rPr>
        <w:t>large width of NR bands in</w:t>
      </w:r>
      <w:r w:rsidR="00B848EE">
        <w:rPr>
          <w:lang w:eastAsia="en-US"/>
        </w:rPr>
        <w:t xml:space="preserve"> </w:t>
      </w:r>
      <w:r w:rsidR="0099013D">
        <w:rPr>
          <w:lang w:eastAsia="en-US"/>
        </w:rPr>
        <w:t>FR2</w:t>
      </w:r>
      <w:r w:rsidR="00B848EE">
        <w:rPr>
          <w:lang w:eastAsia="en-US"/>
        </w:rPr>
        <w:t xml:space="preserve"> it is reasonable to follow the LTE approach for NR. </w:t>
      </w:r>
    </w:p>
    <w:p w14:paraId="5BDBD1A9" w14:textId="429328B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gramStart"/>
      <w:r>
        <w:rPr>
          <w:lang w:eastAsia="en-US"/>
        </w:rPr>
        <w:t>Mid</w:t>
      </w:r>
      <w:proofErr w:type="gramEnd"/>
      <w:r>
        <w:rPr>
          <w:lang w:eastAsia="en-US"/>
        </w:rPr>
        <w:t xml:space="preserve"> range, and High range </w:t>
      </w:r>
      <w:r w:rsidR="00A802ED">
        <w:rPr>
          <w:lang w:eastAsia="en-US"/>
        </w:rPr>
        <w:t xml:space="preserve">frequencies </w:t>
      </w:r>
      <w:r>
        <w:rPr>
          <w:lang w:eastAsia="en-US"/>
        </w:rPr>
        <w:t xml:space="preserve">in </w:t>
      </w:r>
      <w:r w:rsidR="0099013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648FA5EF" w:rsidR="00EA76CE" w:rsidRPr="003B026C" w:rsidRDefault="00EA76CE" w:rsidP="00B848EE">
      <w:pPr>
        <w:jc w:val="both"/>
        <w:rPr>
          <w:lang w:eastAsia="en-US"/>
        </w:rPr>
      </w:pPr>
      <w:bookmarkStart w:id="6"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3361B0">
        <w:rPr>
          <w:lang w:eastAsia="ja-JP"/>
        </w:rPr>
        <w:t xml:space="preserve">As in-band emissions of an UE depend on the unknown details of UE implementation </w:t>
      </w:r>
      <w:r w:rsidR="00B848EE">
        <w:rPr>
          <w:lang w:eastAsia="en-US"/>
        </w:rPr>
        <w:t xml:space="preserve">it is reasonable to follow the LTE approach for NR. </w:t>
      </w:r>
    </w:p>
    <w:bookmarkEnd w:id="6"/>
    <w:p w14:paraId="5FC9166E" w14:textId="798C5168"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r w:rsidR="0099013D">
        <w:rPr>
          <w:lang w:eastAsia="en-US"/>
        </w:rPr>
        <w:t>FR2</w:t>
      </w:r>
      <w:r w:rsidRPr="003B026C">
        <w:rPr>
          <w:lang w:eastAsia="en-US"/>
        </w:rPr>
        <w:t>.</w:t>
      </w:r>
    </w:p>
    <w:p w14:paraId="2696C75C" w14:textId="1242370B" w:rsidR="009B3EA0" w:rsidRDefault="00725DCB" w:rsidP="009B3EA0">
      <w:pPr>
        <w:pStyle w:val="berschrift2"/>
        <w:rPr>
          <w:rFonts w:cs="Arial"/>
          <w:lang w:val="en-US"/>
        </w:rPr>
      </w:pPr>
      <w:r>
        <w:rPr>
          <w:rFonts w:cs="Arial"/>
          <w:lang w:val="en-US"/>
        </w:rPr>
        <w:t>Test Modulations and waveforms</w:t>
      </w:r>
      <w:r w:rsidR="005625F8">
        <w:rPr>
          <w:rFonts w:cs="Arial"/>
          <w:lang w:val="en-US"/>
        </w:rPr>
        <w:t xml:space="preserve"> for PUSCH </w:t>
      </w:r>
    </w:p>
    <w:p w14:paraId="52A8F3CA" w14:textId="77777777" w:rsidR="00553618"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w:t>
      </w:r>
      <w:r w:rsidR="003361B0">
        <w:rPr>
          <w:lang w:eastAsia="en-US"/>
        </w:rPr>
        <w:t xml:space="preserve">However for all modulations an MPR is defined in FR2. </w:t>
      </w:r>
      <w:r>
        <w:rPr>
          <w:lang w:eastAsia="en-US"/>
        </w:rPr>
        <w:t xml:space="preserve">DFT-s-OFDM </w:t>
      </w:r>
      <w:r w:rsidR="005625F8">
        <w:rPr>
          <w:lang w:eastAsia="en-US"/>
        </w:rPr>
        <w:t>PI/2 BPSK</w:t>
      </w:r>
      <w:r w:rsidR="003361B0">
        <w:rPr>
          <w:lang w:eastAsia="en-US"/>
        </w:rPr>
        <w:t xml:space="preserve"> </w:t>
      </w:r>
      <w:r>
        <w:rPr>
          <w:lang w:eastAsia="en-US"/>
        </w:rPr>
        <w:t xml:space="preserve">should be selected as modulation and waveform as it </w:t>
      </w:r>
      <w:r w:rsidR="003361B0">
        <w:rPr>
          <w:lang w:eastAsia="en-US"/>
        </w:rPr>
        <w:t>has the lowest</w:t>
      </w:r>
      <w:r w:rsidR="00553618">
        <w:rPr>
          <w:lang w:eastAsia="en-US"/>
        </w:rPr>
        <w:t xml:space="preserve"> MPR</w:t>
      </w:r>
      <w:r w:rsidR="003361B0">
        <w:rPr>
          <w:lang w:eastAsia="en-US"/>
        </w:rPr>
        <w:t xml:space="preserve">. </w:t>
      </w:r>
    </w:p>
    <w:p w14:paraId="64905ABF" w14:textId="152BF6D5" w:rsidR="00A34221" w:rsidRPr="003B026C" w:rsidRDefault="00A34221" w:rsidP="009B3EA0">
      <w:pPr>
        <w:rPr>
          <w:lang w:eastAsia="en-US"/>
        </w:rPr>
      </w:pPr>
      <w:r>
        <w:rPr>
          <w:lang w:eastAsia="en-US"/>
        </w:rPr>
        <w:t>Moreover, CP OFDM has a high</w:t>
      </w:r>
      <w:r w:rsidR="00AE1EDA">
        <w:rPr>
          <w:lang w:eastAsia="en-US"/>
        </w:rPr>
        <w:t>er</w:t>
      </w:r>
      <w:r>
        <w:rPr>
          <w:lang w:eastAsia="en-US"/>
        </w:rPr>
        <w:t xml:space="preserve"> CREST factor than DFT-s-OFDM and may result in higher in-band emissions although a</w:t>
      </w:r>
      <w:r w:rsidR="003361B0">
        <w:rPr>
          <w:lang w:eastAsia="en-US"/>
        </w:rPr>
        <w:t xml:space="preserve"> higher</w:t>
      </w:r>
      <w:r>
        <w:rPr>
          <w:lang w:eastAsia="en-US"/>
        </w:rPr>
        <w:t xml:space="preserve"> MPR is applied. Therefore, both modulations should be tested.</w:t>
      </w:r>
    </w:p>
    <w:p w14:paraId="38FA06E7" w14:textId="0529D0D2"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625F8">
        <w:rPr>
          <w:lang w:eastAsia="en-US"/>
        </w:rPr>
        <w:t>PI/2 BPSK</w:t>
      </w:r>
      <w:r>
        <w:rPr>
          <w:lang w:eastAsia="en-US"/>
        </w:rPr>
        <w:t xml:space="preserve"> and CP-OFDM QPSK</w:t>
      </w:r>
      <w:r w:rsidR="003361B0">
        <w:rPr>
          <w:lang w:eastAsia="en-US"/>
        </w:rPr>
        <w:t xml:space="preserve"> in FR2</w:t>
      </w:r>
      <w:r>
        <w:rPr>
          <w:lang w:eastAsia="en-US"/>
        </w:rPr>
        <w:t>.</w:t>
      </w:r>
    </w:p>
    <w:p w14:paraId="5B109628" w14:textId="40384CBD" w:rsidR="009B3EA0" w:rsidRPr="003B026C" w:rsidRDefault="00EE51FD" w:rsidP="009B3EA0">
      <w:pPr>
        <w:pStyle w:val="berschrift2"/>
        <w:rPr>
          <w:rFonts w:cs="Arial"/>
          <w:lang w:val="en-US"/>
        </w:rPr>
      </w:pPr>
      <w:r>
        <w:rPr>
          <w:rFonts w:cs="Arial"/>
          <w:lang w:val="en-US"/>
        </w:rPr>
        <w:t>RB allocation</w:t>
      </w:r>
      <w:r w:rsidR="005625F8">
        <w:rPr>
          <w:rFonts w:cs="Arial"/>
          <w:lang w:val="en-US"/>
        </w:rPr>
        <w:t xml:space="preserve"> for PUSCH</w:t>
      </w:r>
    </w:p>
    <w:p w14:paraId="00119C01" w14:textId="57B09AC1" w:rsidR="0036710D" w:rsidRPr="0036710D" w:rsidRDefault="009B3EA0" w:rsidP="0036710D">
      <w:pPr>
        <w:rP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36710D" w:rsidRPr="0036710D">
        <w:rPr>
          <w:lang w:eastAsia="en-US"/>
        </w:rPr>
        <w:t xml:space="preserve">For power class 1 the high MPR of 10 </w:t>
      </w:r>
      <w:r w:rsidR="0036710D">
        <w:rPr>
          <w:lang w:eastAsia="en-US"/>
        </w:rPr>
        <w:t>dB</w:t>
      </w:r>
      <w:r w:rsidR="0036710D" w:rsidRPr="0036710D">
        <w:rPr>
          <w:lang w:eastAsia="en-US"/>
        </w:rPr>
        <w:t xml:space="preserve"> for </w:t>
      </w:r>
      <w:r w:rsidR="00CD3807">
        <w:rPr>
          <w:lang w:eastAsia="en-US"/>
        </w:rPr>
        <w:t xml:space="preserve">an </w:t>
      </w:r>
      <w:r w:rsidR="0036710D" w:rsidRPr="0036710D">
        <w:rPr>
          <w:lang w:eastAsia="en-US"/>
        </w:rPr>
        <w:t>allocated bandwidth less or equal to 10.08 MHz shall be avoided which requires an allocation of at least 15 RBs for DFT-s-OFDM. When this is fulfilled the MPR</w:t>
      </w:r>
      <w:r w:rsidR="0036710D" w:rsidRPr="0036710D">
        <w:rPr>
          <w:vertAlign w:val="subscript"/>
          <w:lang w:eastAsia="en-US"/>
        </w:rPr>
        <w:t>WT</w:t>
      </w:r>
      <w:r w:rsidR="0036710D" w:rsidRPr="0036710D">
        <w:rPr>
          <w:lang w:eastAsia="en-US"/>
        </w:rPr>
        <w:t xml:space="preserve"> applies which is smaller for Inner RB allocations than for outer RB allocations. Thus, the natural choice</w:t>
      </w:r>
      <w:r w:rsidR="00520BCD">
        <w:rPr>
          <w:lang w:eastAsia="en-US"/>
        </w:rPr>
        <w:t xml:space="preserve"> for the allocation are</w:t>
      </w:r>
      <w:r w:rsidR="0036710D" w:rsidRPr="0036710D">
        <w:rPr>
          <w:lang w:eastAsia="en-US"/>
        </w:rPr>
        <w:t xml:space="preserve"> Inner_15</w:t>
      </w:r>
      <w:r w:rsidR="00520BCD">
        <w:rPr>
          <w:lang w:eastAsia="en-US"/>
        </w:rPr>
        <w:t>RB_Left and</w:t>
      </w:r>
      <w:r w:rsidR="0036710D" w:rsidRPr="0036710D">
        <w:rPr>
          <w:lang w:eastAsia="en-US"/>
        </w:rPr>
        <w:t xml:space="preserve"> Inner_15RB_Right. </w:t>
      </w:r>
    </w:p>
    <w:p w14:paraId="65CD22ED" w14:textId="5945F6AA" w:rsidR="009B3EA0" w:rsidRPr="003B026C" w:rsidRDefault="009B3EA0" w:rsidP="009B3EA0">
      <w:pPr>
        <w:rPr>
          <w:lang w:eastAsia="en-US"/>
        </w:rPr>
      </w:pPr>
      <w:r w:rsidRPr="003B026C">
        <w:rPr>
          <w:b/>
          <w:lang w:eastAsia="en-US"/>
        </w:rPr>
        <w:t>Proposal 6</w:t>
      </w:r>
      <w:r w:rsidRPr="003B026C">
        <w:rPr>
          <w:lang w:eastAsia="en-US"/>
        </w:rPr>
        <w:t xml:space="preserve">: Test </w:t>
      </w:r>
      <w:r w:rsidR="00B848EE">
        <w:rPr>
          <w:lang w:eastAsia="en-US"/>
        </w:rPr>
        <w:t>In-band Emissions with Inner_1</w:t>
      </w:r>
      <w:r w:rsidR="00520BCD">
        <w:rPr>
          <w:lang w:eastAsia="en-US"/>
        </w:rPr>
        <w:t>5</w:t>
      </w:r>
      <w:r w:rsidR="00B848EE">
        <w:rPr>
          <w:lang w:eastAsia="en-US"/>
        </w:rPr>
        <w:t xml:space="preserve">RB_Left and </w:t>
      </w:r>
      <w:r w:rsidR="00062ECE">
        <w:rPr>
          <w:lang w:eastAsia="en-US"/>
        </w:rPr>
        <w:t>Inner_1</w:t>
      </w:r>
      <w:r w:rsidR="00520BCD">
        <w:rPr>
          <w:lang w:eastAsia="en-US"/>
        </w:rPr>
        <w:t>5</w:t>
      </w:r>
      <w:r w:rsidR="00062ECE">
        <w:rPr>
          <w:lang w:eastAsia="en-US"/>
        </w:rPr>
        <w:t>RB_Right</w:t>
      </w:r>
      <w:r w:rsidR="003361B0">
        <w:rPr>
          <w:lang w:eastAsia="en-US"/>
        </w:rPr>
        <w:t xml:space="preserve"> in FR2</w:t>
      </w:r>
      <w:r w:rsidR="00062ECE">
        <w:rPr>
          <w:lang w:eastAsia="en-US"/>
        </w:rPr>
        <w:t xml:space="preserve">. </w:t>
      </w:r>
    </w:p>
    <w:p w14:paraId="7BB6A45D" w14:textId="28454D21" w:rsidR="00F10AEE" w:rsidRPr="003B026C" w:rsidRDefault="00F10AEE" w:rsidP="00F10AEE">
      <w:pPr>
        <w:pStyle w:val="berschrift2"/>
        <w:rPr>
          <w:rFonts w:cs="Arial"/>
          <w:lang w:val="en-US"/>
        </w:rPr>
      </w:pPr>
      <w:r w:rsidRPr="003B026C">
        <w:rPr>
          <w:rFonts w:cs="Arial"/>
          <w:lang w:val="en-US"/>
        </w:rPr>
        <w:t xml:space="preserve">Test Modulations, waveforms and formats for </w:t>
      </w:r>
      <w:r>
        <w:rPr>
          <w:rFonts w:cs="Arial"/>
          <w:lang w:val="en-US"/>
        </w:rPr>
        <w:t>In-band Emissions</w:t>
      </w:r>
      <w:r w:rsidRPr="003B026C">
        <w:rPr>
          <w:rFonts w:cs="Arial"/>
          <w:lang w:val="en-US"/>
        </w:rPr>
        <w:t xml:space="preserve"> PUCCH</w:t>
      </w:r>
    </w:p>
    <w:p w14:paraId="0AE4D132" w14:textId="20D2D101" w:rsidR="00F10AEE" w:rsidRPr="003B026C" w:rsidRDefault="00F10AEE" w:rsidP="00F10AEE">
      <w:pPr>
        <w:rPr>
          <w:lang w:eastAsia="en-US"/>
        </w:rPr>
      </w:pPr>
      <w:r w:rsidRPr="003B026C">
        <w:rPr>
          <w:lang w:eastAsia="en-US"/>
        </w:rPr>
        <w:t>Depending on the PUCCH format QPSK or PI/2- BPSK are applied as modulation. In LTE, for TDD format 1a / 1b are tested. The same approach should be followed in 5G.</w:t>
      </w:r>
    </w:p>
    <w:p w14:paraId="073A1295" w14:textId="77777777" w:rsidR="00F10AEE" w:rsidRPr="003B026C" w:rsidRDefault="00F10AEE" w:rsidP="00F10AEE">
      <w:pPr>
        <w:rPr>
          <w:lang w:eastAsia="en-US"/>
        </w:rPr>
      </w:pPr>
      <w:r w:rsidRPr="003B026C">
        <w:rPr>
          <w:lang w:eastAsia="en-US"/>
        </w:rPr>
        <w:t>Due to the differences in the modulation scheme (with and without precoding) and due to the different CREST factors for DFT-s-OFDM and CP-OFDM both waveforms should be tested.</w:t>
      </w:r>
    </w:p>
    <w:p w14:paraId="59E78012" w14:textId="50C63C8C" w:rsidR="00F10AEE" w:rsidRPr="003B026C" w:rsidRDefault="00F10AEE" w:rsidP="00F10AEE">
      <w:pPr>
        <w:jc w:val="both"/>
        <w:rPr>
          <w:lang w:val="en-GB" w:eastAsia="en-US"/>
        </w:rPr>
      </w:pPr>
      <w:r w:rsidRPr="003B026C">
        <w:rPr>
          <w:b/>
          <w:lang w:eastAsia="en-US"/>
        </w:rPr>
        <w:lastRenderedPageBreak/>
        <w:t>Proposal 7:</w:t>
      </w:r>
      <w:r w:rsidRPr="003B026C">
        <w:rPr>
          <w:lang w:eastAsia="en-US"/>
        </w:rPr>
        <w:t xml:space="preserve"> Test </w:t>
      </w:r>
      <w:r>
        <w:rPr>
          <w:lang w:eastAsia="en-US"/>
        </w:rPr>
        <w:t>In-band Emissions</w:t>
      </w:r>
      <w:r w:rsidRPr="003B026C">
        <w:rPr>
          <w:lang w:eastAsia="en-US"/>
        </w:rPr>
        <w:t xml:space="preserve"> PUCCH for DFT-s-OFDM and CP-OFDM with Format 1a / 1b.</w:t>
      </w:r>
    </w:p>
    <w:p w14:paraId="59F9116D" w14:textId="274886CE" w:rsidR="00F10AEE" w:rsidRPr="003B026C" w:rsidRDefault="00F10AEE" w:rsidP="00F10AEE">
      <w:pPr>
        <w:pStyle w:val="berschrift2"/>
        <w:rPr>
          <w:rFonts w:cs="Arial"/>
          <w:lang w:val="en-US"/>
        </w:rPr>
      </w:pPr>
      <w:r w:rsidRPr="003B026C">
        <w:rPr>
          <w:rFonts w:cs="Arial"/>
          <w:lang w:val="en-US"/>
        </w:rPr>
        <w:t xml:space="preserve">Downlink configuration for </w:t>
      </w:r>
      <w:r>
        <w:rPr>
          <w:rFonts w:cs="Arial"/>
          <w:lang w:val="en-US"/>
        </w:rPr>
        <w:t>In-band Emissions</w:t>
      </w:r>
      <w:r w:rsidRPr="003B026C">
        <w:rPr>
          <w:rFonts w:cs="Arial"/>
          <w:lang w:val="en-US"/>
        </w:rPr>
        <w:t xml:space="preserve"> PUCCH</w:t>
      </w:r>
    </w:p>
    <w:p w14:paraId="431E6235" w14:textId="25BFC48B" w:rsidR="00F10AEE" w:rsidRPr="003B026C" w:rsidRDefault="00F10AEE" w:rsidP="00F10AEE">
      <w:pPr>
        <w:rPr>
          <w:lang w:eastAsia="en-US"/>
        </w:rPr>
      </w:pPr>
      <w:r w:rsidRPr="003B026C">
        <w:rPr>
          <w:lang w:eastAsia="en-US"/>
        </w:rPr>
        <w:t xml:space="preserve">In LTE, QPSK is applied as modulation for the downlink and RB allocation is partial. However, the </w:t>
      </w:r>
      <w:r>
        <w:rPr>
          <w:lang w:eastAsia="en-US"/>
        </w:rPr>
        <w:t>In-band Emissions</w:t>
      </w:r>
      <w:r w:rsidRPr="003B026C">
        <w:rPr>
          <w:lang w:eastAsia="en-US"/>
        </w:rPr>
        <w:t xml:space="preserve"> of PUCCH should not depend on the downlink allocation and therefore a specification of the downlink allocation is not required. </w:t>
      </w:r>
    </w:p>
    <w:p w14:paraId="7FAA5C66" w14:textId="7C296AAC" w:rsidR="00F10AEE" w:rsidRPr="003B026C" w:rsidRDefault="00F10AEE" w:rsidP="00F10AEE">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030CE0AA" w14:textId="07795568" w:rsidR="009B3EA0" w:rsidRPr="00F10AEE" w:rsidRDefault="009B3EA0" w:rsidP="00A802ED">
      <w:pPr>
        <w:jc w:val="both"/>
        <w:rPr>
          <w:lang w:val="en-GB"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26419CD1"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w:t>
      </w:r>
      <w:r w:rsidR="0099013D">
        <w:rPr>
          <w:lang w:eastAsia="en-US"/>
        </w:rPr>
        <w:t>FR2</w:t>
      </w:r>
      <w:r w:rsidRPr="003B026C">
        <w:rPr>
          <w:lang w:eastAsia="en-US"/>
        </w:rPr>
        <w:t>:</w:t>
      </w:r>
    </w:p>
    <w:p w14:paraId="1172B584" w14:textId="740043A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w:t>
      </w:r>
      <w:r w:rsidR="0099013D">
        <w:rPr>
          <w:lang w:eastAsia="en-US"/>
        </w:rPr>
        <w:t>FR2</w:t>
      </w:r>
      <w:r>
        <w:rPr>
          <w:lang w:eastAsia="en-US"/>
        </w:rPr>
        <w:t>.</w:t>
      </w:r>
    </w:p>
    <w:p w14:paraId="0908A20F" w14:textId="21CD0FA0"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w:t>
      </w:r>
      <w:r w:rsidR="0099013D">
        <w:rPr>
          <w:lang w:eastAsia="en-US"/>
        </w:rPr>
        <w:t>FR2</w:t>
      </w:r>
      <w:r>
        <w:rPr>
          <w:lang w:eastAsia="en-US"/>
        </w:rPr>
        <w:t>.</w:t>
      </w:r>
    </w:p>
    <w:p w14:paraId="38D51DD4" w14:textId="269B142E"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gramStart"/>
      <w:r>
        <w:rPr>
          <w:lang w:eastAsia="en-US"/>
        </w:rPr>
        <w:t>Mid</w:t>
      </w:r>
      <w:proofErr w:type="gramEnd"/>
      <w:r>
        <w:rPr>
          <w:lang w:eastAsia="en-US"/>
        </w:rPr>
        <w:t xml:space="preserve"> range, and High range frequencies in </w:t>
      </w:r>
      <w:r w:rsidR="0099013D">
        <w:rPr>
          <w:lang w:eastAsia="en-US"/>
        </w:rPr>
        <w:t>FR2</w:t>
      </w:r>
      <w:r>
        <w:rPr>
          <w:lang w:eastAsia="en-US"/>
        </w:rPr>
        <w:t>.</w:t>
      </w:r>
    </w:p>
    <w:p w14:paraId="78BCDB0A" w14:textId="2E82E336" w:rsidR="00B848EE" w:rsidRPr="003B026C" w:rsidRDefault="00B848EE" w:rsidP="00B848EE">
      <w:pPr>
        <w:jc w:val="both"/>
        <w:rPr>
          <w:lang w:eastAsia="en-US"/>
        </w:rPr>
      </w:pPr>
      <w:r w:rsidRPr="003B026C">
        <w:rPr>
          <w:b/>
          <w:lang w:eastAsia="en-US"/>
        </w:rPr>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w:t>
      </w:r>
      <w:r w:rsidR="0099013D">
        <w:rPr>
          <w:lang w:eastAsia="en-US"/>
        </w:rPr>
        <w:t>FR2</w:t>
      </w:r>
      <w:r w:rsidRPr="003B026C">
        <w:rPr>
          <w:lang w:eastAsia="en-US"/>
        </w:rPr>
        <w:t>.</w:t>
      </w:r>
    </w:p>
    <w:p w14:paraId="310BC0B0" w14:textId="204C1694" w:rsidR="003361B0" w:rsidRDefault="003361B0" w:rsidP="003361B0">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53618">
        <w:rPr>
          <w:lang w:eastAsia="en-US"/>
        </w:rPr>
        <w:t>PI/2 BSPK</w:t>
      </w:r>
      <w:r>
        <w:rPr>
          <w:lang w:eastAsia="en-US"/>
        </w:rPr>
        <w:t xml:space="preserve"> and CP-OFDM QPSK in FR2.</w:t>
      </w:r>
    </w:p>
    <w:p w14:paraId="6E791534" w14:textId="0E1A1822" w:rsidR="00B848EE" w:rsidRPr="003B026C" w:rsidRDefault="00B848EE" w:rsidP="00B848EE">
      <w:pPr>
        <w:rPr>
          <w:lang w:eastAsia="en-US"/>
        </w:rPr>
      </w:pPr>
      <w:r w:rsidRPr="003B026C">
        <w:rPr>
          <w:b/>
          <w:lang w:eastAsia="en-US"/>
        </w:rPr>
        <w:t>Proposal 6</w:t>
      </w:r>
      <w:r w:rsidRPr="003B026C">
        <w:rPr>
          <w:lang w:eastAsia="en-US"/>
        </w:rPr>
        <w:t xml:space="preserve">: Test </w:t>
      </w:r>
      <w:r>
        <w:rPr>
          <w:lang w:eastAsia="en-US"/>
        </w:rPr>
        <w:t>In-band Emissions with Inner_1</w:t>
      </w:r>
      <w:r w:rsidR="004459C5">
        <w:rPr>
          <w:lang w:eastAsia="en-US"/>
        </w:rPr>
        <w:t>5</w:t>
      </w:r>
      <w:r>
        <w:rPr>
          <w:lang w:eastAsia="en-US"/>
        </w:rPr>
        <w:t>RB_Left and Inner_1</w:t>
      </w:r>
      <w:r w:rsidR="004459C5">
        <w:rPr>
          <w:lang w:eastAsia="en-US"/>
        </w:rPr>
        <w:t>5</w:t>
      </w:r>
      <w:r>
        <w:rPr>
          <w:lang w:eastAsia="en-US"/>
        </w:rPr>
        <w:t>RB_Right</w:t>
      </w:r>
      <w:r w:rsidR="003361B0">
        <w:rPr>
          <w:lang w:eastAsia="en-US"/>
        </w:rPr>
        <w:t xml:space="preserve"> in FR2</w:t>
      </w:r>
      <w:r>
        <w:rPr>
          <w:lang w:eastAsia="en-US"/>
        </w:rPr>
        <w:t xml:space="preserve">. </w:t>
      </w:r>
    </w:p>
    <w:p w14:paraId="43524548" w14:textId="3E42D6E2" w:rsidR="00190FD0" w:rsidRPr="003B026C" w:rsidRDefault="00190FD0" w:rsidP="00190FD0">
      <w:pPr>
        <w:jc w:val="both"/>
        <w:rPr>
          <w:lang w:val="en-GB" w:eastAsia="en-US"/>
        </w:rPr>
      </w:pPr>
      <w:r w:rsidRPr="003B026C">
        <w:rPr>
          <w:b/>
          <w:lang w:eastAsia="en-US"/>
        </w:rPr>
        <w:t>Proposal 7:</w:t>
      </w:r>
      <w:r w:rsidRPr="003B026C">
        <w:rPr>
          <w:lang w:eastAsia="en-US"/>
        </w:rPr>
        <w:t xml:space="preserve"> Test </w:t>
      </w:r>
      <w:r>
        <w:rPr>
          <w:lang w:eastAsia="en-US"/>
        </w:rPr>
        <w:t>In-band Emissions</w:t>
      </w:r>
      <w:r w:rsidRPr="003B026C">
        <w:rPr>
          <w:lang w:eastAsia="en-US"/>
        </w:rPr>
        <w:t xml:space="preserve"> PUCCH for DFT-s-OFDM and CP-OFDM </w:t>
      </w:r>
      <w:r w:rsidR="000D2C62">
        <w:rPr>
          <w:lang w:eastAsia="en-US"/>
        </w:rPr>
        <w:t xml:space="preserve">with </w:t>
      </w:r>
      <w:r w:rsidRPr="003B026C">
        <w:rPr>
          <w:lang w:eastAsia="en-US"/>
        </w:rPr>
        <w:t>Format 1a / 1b.</w:t>
      </w:r>
    </w:p>
    <w:p w14:paraId="3D631C83" w14:textId="77777777" w:rsidR="00190FD0" w:rsidRPr="003B026C" w:rsidRDefault="00190FD0" w:rsidP="00190FD0">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127FB6B7" w14:textId="77777777" w:rsidR="00062ECE" w:rsidRPr="00190FD0" w:rsidRDefault="00062ECE" w:rsidP="00062ECE">
      <w:pPr>
        <w:rPr>
          <w:lang w:val="en-GB"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7E09A45D"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99013D">
        <w:t>FR2</w:t>
      </w:r>
      <w:r w:rsidRPr="003B026C">
        <w:t>.</w:t>
      </w:r>
    </w:p>
    <w:p w14:paraId="70E66A26" w14:textId="2B576015" w:rsidR="00330840" w:rsidRPr="003B026C" w:rsidRDefault="00330840" w:rsidP="00330840">
      <w:r w:rsidRPr="003B026C">
        <w:t>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330840">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330840">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0A060F20" w14:textId="77777777" w:rsidR="00330840" w:rsidRDefault="00330840" w:rsidP="00330840"/>
    <w:p w14:paraId="0FA75307" w14:textId="06A6EB44" w:rsidR="00330840" w:rsidRPr="003B026C" w:rsidRDefault="00330840" w:rsidP="00330840">
      <w:bookmarkStart w:id="7" w:name="_GoBack"/>
      <w:bookmarkEnd w:id="7"/>
      <w:r w:rsidRPr="003B026C">
        <w:lastRenderedPageBreak/>
        <w:t>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330840" w:rsidRPr="003B026C" w14:paraId="3C3D94ED" w14:textId="77777777" w:rsidTr="00944A87">
        <w:trPr>
          <w:trHeight w:val="714"/>
          <w:jc w:val="center"/>
        </w:trPr>
        <w:tc>
          <w:tcPr>
            <w:tcW w:w="1035" w:type="pct"/>
          </w:tcPr>
          <w:p w14:paraId="2128F85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3BCB7E9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08C52D8C"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0F71058A"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DEE430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388DE006"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5D80B7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330840" w:rsidRPr="003B026C" w14:paraId="4F4D0AD5" w14:textId="77777777" w:rsidTr="00944A87">
        <w:trPr>
          <w:jc w:val="center"/>
        </w:trPr>
        <w:tc>
          <w:tcPr>
            <w:tcW w:w="1035" w:type="pct"/>
          </w:tcPr>
          <w:p w14:paraId="21870BC3" w14:textId="77777777" w:rsidR="00330840" w:rsidRPr="003B026C" w:rsidRDefault="00330840" w:rsidP="00944A87">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54DAEC24"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6DA1F2AC" w14:textId="4C9252BA"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696" w:type="pct"/>
          </w:tcPr>
          <w:p w14:paraId="78E7A944" w14:textId="61A3A577" w:rsidR="00330840" w:rsidRPr="003B026C" w:rsidRDefault="00330840"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789" w:type="pct"/>
            <w:shd w:val="clear" w:color="auto" w:fill="auto"/>
          </w:tcPr>
          <w:p w14:paraId="6A558E69"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6F4543F5" w14:textId="4D0C6BA5"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8" w:name="_Ref473660868"/>
      <w:bookmarkStart w:id="9" w:name="_Ref473660708"/>
      <w:bookmarkStart w:id="10" w:name="OLE_LINK6"/>
      <w:bookmarkStart w:id="11" w:name="OLE_LINK7"/>
      <w:r w:rsidRPr="003B026C">
        <w:rPr>
          <w:rFonts w:cs="Arial"/>
          <w:lang w:val="en-US"/>
        </w:rPr>
        <w:t>References</w:t>
      </w:r>
    </w:p>
    <w:p w14:paraId="6AED9EF5" w14:textId="65EF196B" w:rsidR="00E446E8" w:rsidRPr="003B026C" w:rsidRDefault="0006182D" w:rsidP="00E446E8">
      <w:pPr>
        <w:pStyle w:val="Listenabsatz"/>
        <w:numPr>
          <w:ilvl w:val="0"/>
          <w:numId w:val="46"/>
        </w:numPr>
        <w:spacing w:after="0" w:line="240" w:lineRule="auto"/>
        <w:rPr>
          <w:lang w:val="en-GB"/>
        </w:rPr>
      </w:pPr>
      <w:r>
        <w:rPr>
          <w:lang w:val="en-GB"/>
        </w:rPr>
        <w:t>TS 38.101-2</w:t>
      </w:r>
      <w:r w:rsidR="00062ECE">
        <w:rPr>
          <w:lang w:val="en-GB"/>
        </w:rPr>
        <w:t xml:space="preserve"> V15.2.0 ,</w:t>
      </w:r>
      <w:r w:rsidR="004F7D33" w:rsidRPr="003B026C">
        <w:rPr>
          <w:noProof/>
          <w:lang w:val="en-US"/>
        </w:rPr>
        <w:t xml:space="preserve"> </w:t>
      </w:r>
      <w:r w:rsidR="00E446E8" w:rsidRPr="003B026C">
        <w:rPr>
          <w:lang w:val="en-GB"/>
        </w:rPr>
        <w:t xml:space="preserve">3GPP TSG RAN WG4, </w:t>
      </w:r>
      <w:r w:rsidR="00062ECE">
        <w:rPr>
          <w:lang w:val="en-GB"/>
        </w:rPr>
        <w:t>June</w:t>
      </w:r>
      <w:r w:rsidR="00E446E8" w:rsidRPr="003B026C">
        <w:rPr>
          <w:lang w:val="en-GB"/>
        </w:rPr>
        <w:t xml:space="preserve"> 2018</w:t>
      </w:r>
    </w:p>
    <w:bookmarkEnd w:id="8"/>
    <w:bookmarkEnd w:id="9"/>
    <w:bookmarkEnd w:id="10"/>
    <w:bookmarkEnd w:id="11"/>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133D1" w14:textId="77777777" w:rsidR="003054F1" w:rsidRDefault="003054F1" w:rsidP="00371D7D">
      <w:r>
        <w:separator/>
      </w:r>
    </w:p>
  </w:endnote>
  <w:endnote w:type="continuationSeparator" w:id="0">
    <w:p w14:paraId="4DC44CBD" w14:textId="77777777" w:rsidR="003054F1" w:rsidRDefault="003054F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9410265"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A1EE3">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F50D0" w14:textId="77777777" w:rsidR="003054F1" w:rsidRDefault="003054F1" w:rsidP="00371D7D">
      <w:r>
        <w:separator/>
      </w:r>
    </w:p>
  </w:footnote>
  <w:footnote w:type="continuationSeparator" w:id="0">
    <w:p w14:paraId="741F0034" w14:textId="77777777" w:rsidR="003054F1" w:rsidRDefault="003054F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182D"/>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2C62"/>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0FD0"/>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1C27"/>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5E41"/>
    <w:rsid w:val="002A659B"/>
    <w:rsid w:val="002B111A"/>
    <w:rsid w:val="002B3203"/>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4F1"/>
    <w:rsid w:val="00305C89"/>
    <w:rsid w:val="00305D94"/>
    <w:rsid w:val="00306245"/>
    <w:rsid w:val="003112E8"/>
    <w:rsid w:val="0031299F"/>
    <w:rsid w:val="00315F9F"/>
    <w:rsid w:val="00316376"/>
    <w:rsid w:val="00316F3F"/>
    <w:rsid w:val="003200D8"/>
    <w:rsid w:val="0032672D"/>
    <w:rsid w:val="003300C3"/>
    <w:rsid w:val="00330686"/>
    <w:rsid w:val="00330840"/>
    <w:rsid w:val="003321C2"/>
    <w:rsid w:val="00332D69"/>
    <w:rsid w:val="003344C4"/>
    <w:rsid w:val="00334F04"/>
    <w:rsid w:val="003361B0"/>
    <w:rsid w:val="003434B3"/>
    <w:rsid w:val="00344B2B"/>
    <w:rsid w:val="0035204A"/>
    <w:rsid w:val="0036038D"/>
    <w:rsid w:val="003607C5"/>
    <w:rsid w:val="003608E0"/>
    <w:rsid w:val="003660C7"/>
    <w:rsid w:val="003664A2"/>
    <w:rsid w:val="0036710D"/>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9C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0BCD"/>
    <w:rsid w:val="00521C12"/>
    <w:rsid w:val="0052278C"/>
    <w:rsid w:val="005242EF"/>
    <w:rsid w:val="005247E8"/>
    <w:rsid w:val="0052481A"/>
    <w:rsid w:val="00524CE0"/>
    <w:rsid w:val="00525441"/>
    <w:rsid w:val="0052636F"/>
    <w:rsid w:val="00533FBD"/>
    <w:rsid w:val="00534096"/>
    <w:rsid w:val="005346EC"/>
    <w:rsid w:val="005356CB"/>
    <w:rsid w:val="005374EC"/>
    <w:rsid w:val="00537AA4"/>
    <w:rsid w:val="00542862"/>
    <w:rsid w:val="005430C7"/>
    <w:rsid w:val="005466D7"/>
    <w:rsid w:val="00551E7D"/>
    <w:rsid w:val="00552E60"/>
    <w:rsid w:val="005535D7"/>
    <w:rsid w:val="00553618"/>
    <w:rsid w:val="0055483C"/>
    <w:rsid w:val="00557539"/>
    <w:rsid w:val="005625F8"/>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543"/>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56AF"/>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013D"/>
    <w:rsid w:val="009926B6"/>
    <w:rsid w:val="009943F3"/>
    <w:rsid w:val="0099496E"/>
    <w:rsid w:val="009955B7"/>
    <w:rsid w:val="00997680"/>
    <w:rsid w:val="009A1270"/>
    <w:rsid w:val="009A1EE3"/>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06D3E"/>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A2927"/>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3807"/>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0AEE"/>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827C8-B671-46E3-AE56-12D80C20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1665</Words>
  <Characters>9497</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2018-10-02T20:36:00Z</dcterms:created>
  <dcterms:modified xsi:type="dcterms:W3CDTF">2018-10-02T20:59:00Z</dcterms:modified>
  <cp:category/>
</cp:coreProperties>
</file>